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3000000">
      <w:pPr>
        <w:ind/>
        <w:jc w:val="center"/>
        <w:rPr>
          <w:rFonts w:ascii="Arial" w:hAnsi="Arial"/>
          <w:b w:val="1"/>
          <w:color w:val="000000"/>
        </w:rPr>
      </w:pPr>
      <w:r>
        <w:rPr>
          <w:rFonts w:ascii="Arial" w:hAnsi="Arial"/>
          <w:b w:val="1"/>
          <w:color w:val="000000"/>
        </w:rPr>
        <w:t>Управление Федеральной службы по надзору в сфере связи, информационных технологий и массовых коммуникаций по Республике Мордовия</w:t>
      </w:r>
    </w:p>
    <w:p w14:paraId="04000000">
      <w:pPr>
        <w:ind/>
        <w:jc w:val="center"/>
        <w:rPr>
          <w:rFonts w:ascii="Arial" w:hAnsi="Arial"/>
          <w:b w:val="1"/>
          <w:color w:val="000000"/>
        </w:rPr>
      </w:pPr>
    </w:p>
    <w:p w14:paraId="05000000">
      <w:pPr>
        <w:ind/>
        <w:jc w:val="center"/>
        <w:rPr>
          <w:rFonts w:ascii="Arial" w:hAnsi="Arial"/>
          <w:b w:val="1"/>
          <w:color w:val="000000"/>
          <w:sz w:val="16"/>
        </w:rPr>
      </w:pPr>
    </w:p>
    <w:p w14:paraId="06000000">
      <w:pPr>
        <w:ind/>
        <w:jc w:val="center"/>
        <w:rPr>
          <w:rFonts w:ascii="Arial" w:hAnsi="Arial"/>
          <w:b w:val="1"/>
          <w:color w:val="000000"/>
        </w:rPr>
      </w:pPr>
      <w:r>
        <w:rPr>
          <w:rFonts w:ascii="Arial" w:hAnsi="Arial"/>
          <w:b w:val="1"/>
          <w:color w:val="000000"/>
        </w:rPr>
        <w:t>Результаты</w:t>
      </w:r>
      <w:r>
        <w:rPr>
          <w:rFonts w:ascii="Arial" w:hAnsi="Arial"/>
          <w:b w:val="1"/>
          <w:color w:val="000000"/>
        </w:rPr>
        <w:t xml:space="preserve"> </w:t>
      </w:r>
      <w:r>
        <w:rPr>
          <w:rFonts w:ascii="Arial" w:hAnsi="Arial"/>
          <w:b w:val="1"/>
          <w:color w:val="000000"/>
        </w:rPr>
        <w:t>деятельности</w:t>
      </w:r>
      <w:r>
        <w:rPr>
          <w:rFonts w:ascii="Arial" w:hAnsi="Arial"/>
          <w:b w:val="1"/>
          <w:color w:val="000000"/>
        </w:rPr>
        <w:t xml:space="preserve"> </w:t>
      </w:r>
      <w:r>
        <w:rPr>
          <w:rFonts w:ascii="Arial" w:hAnsi="Arial"/>
          <w:b w:val="1"/>
          <w:color w:val="000000"/>
        </w:rPr>
        <w:t>за</w:t>
      </w:r>
      <w:r>
        <w:rPr>
          <w:rFonts w:ascii="Arial" w:hAnsi="Arial"/>
          <w:b w:val="1"/>
          <w:color w:val="000000"/>
        </w:rPr>
        <w:t xml:space="preserve"> </w:t>
      </w:r>
      <w:r>
        <w:rPr>
          <w:rFonts w:ascii="Arial" w:hAnsi="Arial"/>
          <w:b w:val="1"/>
          <w:color w:val="000000"/>
        </w:rPr>
        <w:t>период</w:t>
      </w:r>
      <w:r>
        <w:rPr>
          <w:rFonts w:ascii="Arial" w:hAnsi="Arial"/>
          <w:b w:val="1"/>
          <w:color w:val="000000"/>
        </w:rPr>
        <w:t xml:space="preserve"> </w:t>
      </w:r>
      <w:r>
        <w:rPr>
          <w:rFonts w:ascii="Arial" w:hAnsi="Arial"/>
          <w:b w:val="1"/>
          <w:color w:val="000000"/>
        </w:rPr>
        <w:t>с</w:t>
      </w:r>
      <w:r>
        <w:rPr>
          <w:rFonts w:ascii="Arial" w:hAnsi="Arial"/>
          <w:b w:val="1"/>
          <w:color w:val="000000"/>
        </w:rPr>
        <w:t xml:space="preserve"> </w:t>
      </w:r>
      <w:r>
        <w:rPr>
          <w:rFonts w:ascii="Arial" w:hAnsi="Arial"/>
          <w:b w:val="1"/>
          <w:color w:val="000000"/>
        </w:rPr>
        <w:t>01.01.2020</w:t>
      </w:r>
      <w:r>
        <w:rPr>
          <w:rFonts w:ascii="Arial" w:hAnsi="Arial"/>
          <w:b w:val="1"/>
          <w:color w:val="000000"/>
        </w:rPr>
        <w:t xml:space="preserve"> </w:t>
      </w:r>
      <w:r>
        <w:rPr>
          <w:rFonts w:ascii="Arial" w:hAnsi="Arial"/>
          <w:b w:val="1"/>
          <w:color w:val="000000"/>
        </w:rPr>
        <w:t>по</w:t>
      </w:r>
      <w:r>
        <w:rPr>
          <w:rFonts w:ascii="Arial" w:hAnsi="Arial"/>
          <w:b w:val="1"/>
          <w:color w:val="000000"/>
        </w:rPr>
        <w:t xml:space="preserve"> </w:t>
      </w:r>
      <w:r>
        <w:rPr>
          <w:rFonts w:ascii="Arial" w:hAnsi="Arial"/>
          <w:b w:val="1"/>
          <w:color w:val="000000"/>
        </w:rPr>
        <w:t>3</w:t>
      </w:r>
      <w:r>
        <w:rPr>
          <w:rFonts w:ascii="Arial" w:hAnsi="Arial"/>
          <w:b w:val="1"/>
          <w:color w:val="000000"/>
        </w:rPr>
        <w:t>0</w:t>
      </w:r>
      <w:r>
        <w:rPr>
          <w:rFonts w:ascii="Arial" w:hAnsi="Arial"/>
          <w:b w:val="1"/>
          <w:color w:val="000000"/>
        </w:rPr>
        <w:t>.06.2020</w:t>
      </w:r>
    </w:p>
    <w:p w14:paraId="07000000">
      <w:pPr>
        <w:ind/>
        <w:jc w:val="center"/>
        <w:rPr>
          <w:rFonts w:ascii="Times New Roman" w:hAnsi="Times New Roman"/>
          <w:sz w:val="16"/>
        </w:rPr>
      </w:pPr>
    </w:p>
    <w:p w14:paraId="08000000">
      <w:pPr>
        <w:rPr>
          <w:rFonts w:ascii="Arial" w:hAnsi="Arial"/>
          <w:b w:val="1"/>
          <w:color w:val="000000"/>
        </w:rPr>
      </w:pPr>
      <w:r>
        <w:rPr>
          <w:rFonts w:ascii="Arial" w:hAnsi="Arial"/>
          <w:b w:val="1"/>
          <w:color w:val="000000"/>
        </w:rPr>
        <w:t xml:space="preserve">1. </w:t>
      </w:r>
      <w:r>
        <w:rPr>
          <w:rFonts w:ascii="Arial" w:hAnsi="Arial"/>
          <w:b w:val="1"/>
          <w:color w:val="000000"/>
        </w:rPr>
        <w:t>Показатели, характеризующие результаты разрешительной и регистрационной деятельности</w:t>
      </w:r>
    </w:p>
    <w:p w14:paraId="09000000">
      <w:pPr>
        <w:rPr>
          <w:rFonts w:ascii="Arial" w:hAnsi="Arial"/>
          <w:b w:val="1"/>
          <w:color w:val="000000"/>
          <w:sz w:val="16"/>
        </w:rPr>
      </w:pPr>
    </w:p>
    <w:tbl>
      <w:tblPr>
        <w:tblStyle w:val="Style_2"/>
        <w:tblInd w:type="dxa" w:w="-79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</w:tblPr>
      <w:tblGrid>
        <w:gridCol w:w="720"/>
        <w:gridCol w:w="5580"/>
        <w:gridCol w:w="1506"/>
        <w:gridCol w:w="1506"/>
        <w:gridCol w:w="1467"/>
      </w:tblGrid>
      <w:t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№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Показатель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Всего з</w:t>
            </w:r>
            <w:r>
              <w:rPr>
                <w:rFonts w:ascii="Arial" w:hAnsi="Arial"/>
                <w:b w:val="1"/>
                <w:sz w:val="18"/>
              </w:rPr>
              <w:t>а период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Всего с</w:t>
            </w:r>
            <w:r>
              <w:rPr>
                <w:rFonts w:ascii="Arial" w:hAnsi="Arial"/>
                <w:b w:val="1"/>
                <w:sz w:val="18"/>
              </w:rPr>
              <w:t xml:space="preserve"> начала года</w:t>
            </w:r>
          </w:p>
        </w:tc>
        <w:tc>
          <w:tcPr>
            <w:tcW w:type="dxa" w:w="1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Всего действует</w:t>
            </w:r>
          </w:p>
        </w:tc>
      </w:tr>
      <w:tr>
        <w:trPr>
          <w:trHeight w:hRule="atLeast" w:val="485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</w:t>
            </w:r>
            <w:r>
              <w:rPr>
                <w:rFonts w:ascii="Arial" w:hAnsi="Arial"/>
                <w:b w:val="1"/>
                <w:sz w:val="18"/>
              </w:rPr>
              <w:t>.1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0000000">
            <w:pPr>
              <w:spacing w:after="0" w:line="240" w:lineRule="auto"/>
              <w:ind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Выдано разрешений на применение франкировальных машин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</w:t>
            </w:r>
          </w:p>
        </w:tc>
      </w:tr>
      <w:t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1.</w:t>
            </w:r>
            <w:r>
              <w:rPr>
                <w:rFonts w:ascii="Arial" w:hAnsi="Arial"/>
                <w:b w:val="1"/>
                <w:sz w:val="18"/>
              </w:rPr>
              <w:t>2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5000000">
            <w:pPr>
              <w:spacing w:after="0" w:line="240" w:lineRule="auto"/>
              <w:ind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Вв</w:t>
            </w:r>
            <w:r>
              <w:rPr>
                <w:rFonts w:ascii="Arial" w:hAnsi="Arial"/>
                <w:b w:val="1"/>
                <w:sz w:val="18"/>
              </w:rPr>
              <w:t>едено</w:t>
            </w:r>
            <w:r>
              <w:rPr>
                <w:rFonts w:ascii="Arial" w:hAnsi="Arial"/>
                <w:b w:val="1"/>
                <w:sz w:val="18"/>
              </w:rPr>
              <w:t xml:space="preserve"> в эксплуатацию сетей (сооружений) связи с участием представителей территориальных органов</w:t>
            </w:r>
            <w:r>
              <w:rPr>
                <w:rFonts w:ascii="Arial" w:hAnsi="Arial"/>
                <w:b w:val="1"/>
                <w:sz w:val="18"/>
              </w:rPr>
              <w:t xml:space="preserve"> 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</w:t>
            </w:r>
          </w:p>
        </w:tc>
        <w:tc>
          <w:tcPr>
            <w:tcW w:type="dxa" w:w="1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97</w:t>
            </w:r>
          </w:p>
        </w:tc>
      </w:tr>
      <w:t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1.</w:t>
            </w:r>
            <w:r>
              <w:rPr>
                <w:rFonts w:ascii="Arial" w:hAnsi="Arial"/>
                <w:b w:val="1"/>
                <w:sz w:val="18"/>
              </w:rPr>
              <w:t>3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A000000">
            <w:pPr>
              <w:spacing w:after="0" w:line="240" w:lineRule="auto"/>
              <w:ind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Вв</w:t>
            </w:r>
            <w:r>
              <w:rPr>
                <w:rFonts w:ascii="Arial" w:hAnsi="Arial"/>
                <w:b w:val="1"/>
                <w:sz w:val="18"/>
              </w:rPr>
              <w:t>едено</w:t>
            </w:r>
            <w:r>
              <w:rPr>
                <w:rFonts w:ascii="Arial" w:hAnsi="Arial"/>
                <w:b w:val="1"/>
                <w:sz w:val="18"/>
              </w:rPr>
              <w:t xml:space="preserve"> в эксплуатацию сетей (сооружений) связи без участия представителей территориальных органов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13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13</w:t>
            </w:r>
          </w:p>
        </w:tc>
        <w:tc>
          <w:tcPr>
            <w:tcW w:type="dxa" w:w="1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1396</w:t>
            </w:r>
          </w:p>
        </w:tc>
      </w:tr>
      <w:tr>
        <w:trPr>
          <w:trHeight w:hRule="atLeast" w:val="216"/>
          <w:hidden w:val="0"/>
        </w:trP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1.</w:t>
            </w:r>
            <w:r>
              <w:rPr>
                <w:rFonts w:ascii="Arial" w:hAnsi="Arial"/>
                <w:b w:val="1"/>
                <w:sz w:val="18"/>
              </w:rPr>
              <w:t>4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spacing w:after="0" w:line="240" w:lineRule="auto"/>
              <w:ind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Зарегистрировано радиоэлектронных средств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1073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1073</w:t>
            </w:r>
          </w:p>
        </w:tc>
        <w:tc>
          <w:tcPr>
            <w:tcW w:type="dxa" w:w="1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10358</w:t>
            </w:r>
          </w:p>
        </w:tc>
      </w:tr>
      <w:t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1.</w:t>
            </w:r>
            <w:r>
              <w:rPr>
                <w:rFonts w:ascii="Arial" w:hAnsi="Arial"/>
                <w:b w:val="1"/>
                <w:sz w:val="18"/>
              </w:rPr>
              <w:t>5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4000000">
            <w:pPr>
              <w:spacing w:after="0" w:line="240" w:lineRule="auto"/>
              <w:ind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 xml:space="preserve">Регистрация СМИ 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</w:p>
        </w:tc>
        <w:tc>
          <w:tcPr>
            <w:tcW w:type="dxa" w:w="1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71</w:t>
            </w:r>
          </w:p>
        </w:tc>
      </w:tr>
      <w:t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9000000">
            <w:pPr>
              <w:spacing w:after="0" w:line="240" w:lineRule="auto"/>
              <w:ind w:firstLine="0" w:left="25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- </w:t>
            </w:r>
            <w:r>
              <w:rPr>
                <w:rFonts w:ascii="Arial" w:hAnsi="Arial"/>
                <w:sz w:val="16"/>
              </w:rPr>
              <w:t>зарегистрировано впервые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2A000000">
            <w:pPr>
              <w:spacing w:after="0" w:line="240" w:lineRule="auto"/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Arial" w:hAnsi="Arial"/>
                <w:sz w:val="16"/>
              </w:rPr>
            </w:pPr>
          </w:p>
        </w:tc>
      </w:tr>
      <w:tr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1.</w:t>
            </w:r>
            <w:r>
              <w:rPr>
                <w:rFonts w:ascii="Arial" w:hAnsi="Arial"/>
                <w:b w:val="1"/>
                <w:sz w:val="18"/>
              </w:rPr>
              <w:t>6</w:t>
            </w:r>
          </w:p>
        </w:tc>
        <w:tc>
          <w:tcPr>
            <w:tcW w:type="dxa" w:w="55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E000000">
            <w:pPr>
              <w:spacing w:after="0" w:line="276" w:lineRule="auto"/>
              <w:ind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Поступило уведомлений об</w:t>
            </w:r>
            <w:r>
              <w:rPr>
                <w:rFonts w:ascii="Arial" w:hAnsi="Arial"/>
                <w:b w:val="1"/>
                <w:sz w:val="18"/>
              </w:rPr>
              <w:t xml:space="preserve"> обработк</w:t>
            </w:r>
            <w:r>
              <w:rPr>
                <w:rFonts w:ascii="Arial" w:hAnsi="Arial"/>
                <w:b w:val="1"/>
                <w:sz w:val="18"/>
              </w:rPr>
              <w:t>е</w:t>
            </w:r>
            <w:r>
              <w:rPr>
                <w:rFonts w:ascii="Arial" w:hAnsi="Arial"/>
                <w:b w:val="1"/>
                <w:sz w:val="18"/>
              </w:rPr>
              <w:t xml:space="preserve"> персональных данных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45</w:t>
            </w:r>
          </w:p>
        </w:tc>
        <w:tc>
          <w:tcPr>
            <w:tcW w:type="dxa" w:w="15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45</w:t>
            </w:r>
          </w:p>
        </w:tc>
        <w:tc>
          <w:tcPr>
            <w:tcW w:type="dxa" w:w="14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24</w:t>
            </w:r>
            <w:r>
              <w:rPr>
                <w:rFonts w:ascii="Arial" w:hAnsi="Arial"/>
                <w:b w:val="1"/>
                <w:sz w:val="18"/>
              </w:rPr>
              <w:t>76</w:t>
            </w:r>
          </w:p>
        </w:tc>
      </w:tr>
    </w:tbl>
    <w:p w14:paraId="32000000">
      <w:pPr>
        <w:rPr>
          <w:rFonts w:ascii="Times New Roman" w:hAnsi="Times New Roman"/>
        </w:rPr>
      </w:pPr>
    </w:p>
    <w:p w14:paraId="33000000">
      <w:pPr>
        <w:rPr>
          <w:rFonts w:ascii="Arial" w:hAnsi="Arial"/>
          <w:b w:val="1"/>
          <w:color w:val="000000"/>
        </w:rPr>
      </w:pPr>
      <w:r>
        <w:rPr>
          <w:rFonts w:ascii="Arial" w:hAnsi="Arial"/>
          <w:b w:val="1"/>
          <w:color w:val="000000"/>
        </w:rPr>
        <w:t xml:space="preserve">2. Показатели, характеризующие результаты </w:t>
      </w:r>
      <w:r>
        <w:rPr>
          <w:rFonts w:ascii="Arial" w:hAnsi="Arial"/>
          <w:b w:val="1"/>
          <w:color w:val="000000"/>
        </w:rPr>
        <w:t>надзор</w:t>
      </w:r>
      <w:r>
        <w:rPr>
          <w:rFonts w:ascii="Arial" w:hAnsi="Arial"/>
          <w:b w:val="1"/>
          <w:color w:val="000000"/>
        </w:rPr>
        <w:t>ной деятельности</w:t>
      </w:r>
    </w:p>
    <w:p w14:paraId="34000000">
      <w:pPr>
        <w:rPr>
          <w:rFonts w:ascii="Arial" w:hAnsi="Arial"/>
          <w:b w:val="1"/>
          <w:color w:val="000000"/>
        </w:rPr>
      </w:pPr>
    </w:p>
    <w:tbl>
      <w:tblPr>
        <w:tblStyle w:val="Style_3"/>
      </w:tblPr>
      <w:tblGrid>
        <w:gridCol w:w="1002"/>
        <w:gridCol w:w="1964"/>
        <w:gridCol w:w="1088"/>
        <w:gridCol w:w="1011"/>
        <w:gridCol w:w="1127"/>
        <w:gridCol w:w="1070"/>
        <w:gridCol w:w="1040"/>
        <w:gridCol w:w="1035"/>
        <w:gridCol w:w="1002"/>
      </w:tblGrid>
      <w:tr>
        <w:trPr>
          <w:tblHeader/>
        </w:trP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5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№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6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Показатель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Всего с начала года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Всего за период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9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Вещание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A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Связь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СМИ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ОПД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D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ИТ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E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2.1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3F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 xml:space="preserve">Проведено </w:t>
            </w:r>
            <w:r>
              <w:rPr>
                <w:rFonts w:ascii="Arial" w:hAnsi="Arial"/>
                <w:b w:val="1"/>
                <w:sz w:val="18"/>
              </w:rPr>
              <w:t>проверок всего,</w:t>
            </w:r>
          </w:p>
          <w:p w14:paraId="40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 xml:space="preserve"> в том числе: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1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2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3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4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5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6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1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7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8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49000000">
            <w:pPr>
              <w:rPr>
                <w:rFonts w:ascii="Arial" w:hAnsi="Arial"/>
                <w:i w:val="1"/>
                <w:sz w:val="18"/>
              </w:rPr>
            </w:pPr>
            <w:r>
              <w:rPr>
                <w:rFonts w:ascii="Arial" w:hAnsi="Arial"/>
                <w:i w:val="1"/>
                <w:sz w:val="18"/>
              </w:rPr>
              <w:t>Плановых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B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C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D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E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4F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1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0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1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2000000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i w:val="1"/>
                <w:sz w:val="18"/>
              </w:rPr>
              <w:t>Внеплановых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3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4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5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6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7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8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9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2.2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5B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Проведено м</w:t>
            </w:r>
            <w:r>
              <w:rPr>
                <w:rFonts w:ascii="Arial" w:hAnsi="Arial"/>
                <w:b w:val="1"/>
                <w:sz w:val="18"/>
              </w:rPr>
              <w:t>ероприятий систематического наблюдения</w:t>
            </w:r>
            <w:r>
              <w:rPr>
                <w:rFonts w:ascii="Arial" w:hAnsi="Arial"/>
                <w:b w:val="1"/>
                <w:sz w:val="18"/>
              </w:rPr>
              <w:t>, в том числе: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C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43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D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43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E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2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6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0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25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1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10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2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color w:val="000000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3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4000000">
            <w:pPr>
              <w:tabs>
                <w:tab w:leader="none" w:pos="1023" w:val="center"/>
                <w:tab w:leader="none" w:pos="2047" w:val="right"/>
              </w:tabs>
              <w:ind/>
              <w:rPr>
                <w:rFonts w:ascii="Arial" w:hAnsi="Arial"/>
                <w:i w:val="1"/>
                <w:sz w:val="18"/>
              </w:rPr>
            </w:pPr>
            <w:r>
              <w:rPr>
                <w:rFonts w:ascii="Arial" w:hAnsi="Arial"/>
                <w:i w:val="1"/>
                <w:sz w:val="18"/>
              </w:rPr>
              <w:t>плановых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5000000">
            <w:pPr>
              <w:ind/>
              <w:jc w:val="center"/>
              <w:rPr>
                <w:rFonts w:ascii="Arial" w:hAnsi="Arial"/>
                <w:i w:val="1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43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6000000">
            <w:pPr>
              <w:ind/>
              <w:jc w:val="center"/>
              <w:rPr>
                <w:rFonts w:ascii="Arial" w:hAnsi="Arial"/>
                <w:i w:val="1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43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7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2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8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6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9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25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A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10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C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D000000">
            <w:pPr>
              <w:tabs>
                <w:tab w:leader="none" w:pos="1023" w:val="center"/>
                <w:tab w:leader="none" w:pos="2047" w:val="right"/>
              </w:tabs>
              <w:ind/>
              <w:rPr>
                <w:rFonts w:ascii="Arial" w:hAnsi="Arial"/>
                <w:i w:val="1"/>
                <w:sz w:val="18"/>
              </w:rPr>
            </w:pPr>
            <w:r>
              <w:rPr>
                <w:rFonts w:ascii="Arial" w:hAnsi="Arial"/>
                <w:i w:val="1"/>
                <w:sz w:val="18"/>
              </w:rPr>
              <w:t>внеплановых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E000000">
            <w:pPr>
              <w:ind/>
              <w:jc w:val="center"/>
              <w:rPr>
                <w:rFonts w:ascii="Arial" w:hAnsi="Arial"/>
                <w:i w:val="1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6F000000">
            <w:pPr>
              <w:ind/>
              <w:jc w:val="center"/>
              <w:rPr>
                <w:rFonts w:ascii="Arial" w:hAnsi="Arial"/>
                <w:i w:val="1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0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1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2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3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4000000">
            <w:pPr>
              <w:ind/>
              <w:jc w:val="center"/>
              <w:rPr>
                <w:rFonts w:ascii="Arial" w:hAnsi="Arial"/>
                <w:i w:val="1"/>
                <w:color w:val="000000"/>
                <w:sz w:val="16"/>
              </w:rPr>
            </w:pPr>
            <w:r>
              <w:rPr>
                <w:rFonts w:ascii="Arial" w:hAnsi="Arial"/>
                <w:i w:val="1"/>
                <w:color w:val="000000"/>
                <w:sz w:val="16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5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2.3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6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Выявлено лиц, оказывающих услуги связи на возмездной основе без лицензии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7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8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9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A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B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C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D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7E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2.4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7F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Выявлено лиц, использующих не разрешенные для использования РЭС и ВЧУ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0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1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2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3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4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5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6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7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2.5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88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Выявлено не разрешенных для использования РЭС и ВЧУ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9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A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B000000">
            <w:pPr>
              <w:ind/>
              <w:jc w:val="center"/>
              <w:rPr>
                <w:rFonts w:ascii="Arial" w:hAnsi="Arial"/>
                <w:b w:val="1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C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D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E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8F000000">
            <w:pPr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0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2.6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1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Выдано предписаний об устранении выявленных нарушений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2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3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4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5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6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7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8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9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2.7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9A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Составлено протоколов об административном правонарушении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B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145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C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145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D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E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137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9F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0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7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1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2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2.8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A3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 xml:space="preserve">Вынесено решений/ постановлений по протоколам об административных правонарушениях всего, в том числе: 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4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143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5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143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6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7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136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8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9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6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A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B000000">
            <w:pPr>
              <w:ind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C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Роскомнадзором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D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11</w:t>
            </w:r>
            <w:r>
              <w:rPr>
                <w:rFonts w:ascii="Arial" w:hAnsi="Arial"/>
                <w:sz w:val="16"/>
              </w:rPr>
              <w:t>9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E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119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AF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0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  <w:r>
              <w:rPr>
                <w:rFonts w:ascii="Arial" w:hAnsi="Arial"/>
                <w:sz w:val="16"/>
              </w:rPr>
              <w:t>19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1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2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3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4000000">
            <w:pPr>
              <w:ind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5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судами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6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24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7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24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8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9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17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A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1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B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6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C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D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2.9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BE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Наложено административных штрафов (руб.)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BF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1600000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0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1600000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1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2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1600000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3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4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5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6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2.10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C7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Взыскано административных штрафов (руб.)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8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1304000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9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1304000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A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B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1304000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C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D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E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CF000000">
            <w:pPr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2.11</w:t>
            </w: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D0000000">
            <w:pPr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 xml:space="preserve">Количество </w:t>
            </w:r>
            <w:r>
              <w:rPr>
                <w:rFonts w:ascii="Arial" w:hAnsi="Arial"/>
                <w:b w:val="1"/>
                <w:sz w:val="18"/>
              </w:rPr>
              <w:t>СМИ</w:t>
            </w:r>
            <w:r>
              <w:rPr>
                <w:rFonts w:ascii="Arial" w:hAnsi="Arial"/>
                <w:b w:val="1"/>
                <w:sz w:val="18"/>
              </w:rPr>
              <w:t>, прекративших деятельность</w:t>
            </w:r>
            <w:r>
              <w:rPr>
                <w:rFonts w:ascii="Arial" w:hAnsi="Arial"/>
                <w:b w:val="1"/>
                <w:sz w:val="18"/>
              </w:rPr>
              <w:t xml:space="preserve"> всего, в том числе: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1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2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3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4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5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2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6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7000000">
            <w:pPr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8000000">
            <w:pPr>
              <w:ind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D9000000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- по решению суда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A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B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C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D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E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DF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0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</w:tr>
      <w:tr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1000000">
            <w:pPr>
              <w:ind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type="dxa" w:w="19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top"/>
          </w:tcPr>
          <w:p w14:paraId="E2000000">
            <w:pPr>
              <w:ind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- по решению </w:t>
            </w:r>
            <w:r>
              <w:rPr>
                <w:rFonts w:ascii="Arial" w:hAnsi="Arial"/>
                <w:sz w:val="16"/>
              </w:rPr>
              <w:t>у</w:t>
            </w:r>
            <w:r>
              <w:rPr>
                <w:rFonts w:ascii="Arial" w:hAnsi="Arial"/>
                <w:sz w:val="16"/>
              </w:rPr>
              <w:t>чредителя</w:t>
            </w:r>
          </w:p>
        </w:tc>
        <w:tc>
          <w:tcPr>
            <w:tcW w:type="dxa" w:w="1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3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type="dxa" w:w="10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4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5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6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7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2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8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  <w:tc>
          <w:tcPr>
            <w:tcW w:type="dxa" w:w="10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9000000">
            <w:pPr>
              <w:ind/>
              <w:jc w:val="center"/>
              <w:rPr>
                <w:rFonts w:ascii="Arial" w:hAnsi="Arial"/>
                <w:color w:val="000000"/>
                <w:sz w:val="16"/>
              </w:rPr>
            </w:pPr>
            <w:r>
              <w:rPr>
                <w:rFonts w:ascii="Arial" w:hAnsi="Arial"/>
                <w:sz w:val="16"/>
              </w:rPr>
              <w:t>0</w:t>
            </w:r>
          </w:p>
        </w:tc>
      </w:tr>
    </w:tbl>
    <w:p w14:paraId="EA000000">
      <w:pPr>
        <w:rPr>
          <w:rFonts w:ascii="Arial" w:hAnsi="Arial"/>
          <w:b w:val="1"/>
        </w:rPr>
      </w:pPr>
    </w:p>
    <w:p w14:paraId="EB000000">
      <w:pPr>
        <w:rPr>
          <w:rFonts w:ascii="Arial" w:hAnsi="Arial"/>
          <w:b w:val="1"/>
        </w:rPr>
      </w:pPr>
      <w:r>
        <w:rPr>
          <w:rFonts w:ascii="Arial" w:hAnsi="Arial"/>
          <w:b w:val="1"/>
        </w:rPr>
        <w:t>3</w:t>
      </w:r>
      <w:r>
        <w:rPr>
          <w:rFonts w:ascii="Arial" w:hAnsi="Arial"/>
          <w:b w:val="1"/>
        </w:rPr>
        <w:t xml:space="preserve">. </w:t>
      </w:r>
      <w:r>
        <w:rPr>
          <w:rFonts w:ascii="Arial" w:hAnsi="Arial"/>
          <w:b w:val="1"/>
        </w:rPr>
        <w:t>Показатели, характеризующие работу с о</w:t>
      </w:r>
      <w:r>
        <w:rPr>
          <w:rFonts w:ascii="Arial" w:hAnsi="Arial"/>
          <w:b w:val="1"/>
        </w:rPr>
        <w:t>бращени</w:t>
      </w:r>
      <w:r>
        <w:rPr>
          <w:rFonts w:ascii="Arial" w:hAnsi="Arial"/>
          <w:b w:val="1"/>
        </w:rPr>
        <w:t>ями</w:t>
      </w:r>
      <w:r>
        <w:rPr>
          <w:rFonts w:ascii="Arial" w:hAnsi="Arial"/>
          <w:b w:val="1"/>
        </w:rPr>
        <w:t xml:space="preserve"> граждан</w:t>
      </w:r>
      <w:r>
        <w:rPr>
          <w:rFonts w:ascii="Arial" w:hAnsi="Arial"/>
          <w:b w:val="1"/>
        </w:rPr>
        <w:t>, юридических лиц, индивидуальных предпринимателей</w:t>
      </w:r>
      <w:r>
        <w:rPr>
          <w:rFonts w:ascii="Arial" w:hAnsi="Arial"/>
          <w:b w:val="1"/>
        </w:rPr>
        <w:t xml:space="preserve"> </w:t>
      </w:r>
    </w:p>
    <w:p w14:paraId="EC000000">
      <w:pPr>
        <w:rPr>
          <w:rFonts w:ascii="Arial" w:hAnsi="Arial"/>
          <w:b w:val="1"/>
          <w:color w:val="FF0000"/>
        </w:rPr>
      </w:pPr>
    </w:p>
    <w:tbl>
      <w:tblPr>
        <w:tblStyle w:val="Style_2"/>
        <w:tblInd w:type="dxa" w:w="-3263"/>
      </w:tblPr>
      <w:tblGrid>
        <w:gridCol w:w="667"/>
        <w:gridCol w:w="5834"/>
        <w:gridCol w:w="2051"/>
        <w:gridCol w:w="4917"/>
      </w:tblGrid>
      <w:tr>
        <w:trPr>
          <w:trHeight w:hRule="atLeast" w:val="479"/>
          <w:hidden w:val="0"/>
        </w:trPr>
        <w:tc>
          <w:tcPr>
            <w:tcW w:type="dxa" w:w="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№</w:t>
            </w:r>
          </w:p>
        </w:tc>
        <w:tc>
          <w:tcPr>
            <w:tcW w:type="dxa" w:w="5834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20"/>
              </w:rPr>
            </w:pPr>
            <w:r>
              <w:rPr>
                <w:rFonts w:ascii="Arial" w:hAnsi="Arial"/>
                <w:b w:val="1"/>
                <w:sz w:val="20"/>
              </w:rPr>
              <w:t>Показатель</w:t>
            </w:r>
          </w:p>
        </w:tc>
        <w:tc>
          <w:tcPr>
            <w:tcW w:type="dxa" w:w="205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Всего</w:t>
            </w:r>
            <w:r>
              <w:rPr>
                <w:rFonts w:ascii="Arial" w:hAnsi="Arial"/>
                <w:b w:val="1"/>
                <w:sz w:val="18"/>
              </w:rPr>
              <w:t xml:space="preserve"> </w:t>
            </w:r>
            <w:r>
              <w:rPr>
                <w:rFonts w:ascii="Arial" w:hAnsi="Arial"/>
                <w:b w:val="1"/>
                <w:sz w:val="18"/>
              </w:rPr>
              <w:t>с начала года</w:t>
            </w:r>
          </w:p>
        </w:tc>
        <w:tc>
          <w:tcPr>
            <w:tcW w:type="dxa" w:w="49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Всего за период</w:t>
            </w:r>
          </w:p>
        </w:tc>
      </w:tr>
      <w:tr>
        <w:trPr>
          <w:trHeight w:hRule="atLeast" w:val="268"/>
        </w:trPr>
        <w:tc>
          <w:tcPr>
            <w:tcW w:type="dxa" w:w="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3.1</w:t>
            </w:r>
          </w:p>
        </w:tc>
        <w:tc>
          <w:tcPr>
            <w:tcW w:type="dxa" w:w="5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top"/>
          </w:tcPr>
          <w:p w14:paraId="F2000000">
            <w:pPr>
              <w:spacing w:after="0" w:line="240" w:lineRule="auto"/>
              <w:ind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Поступило заявлений и обращений</w:t>
            </w:r>
          </w:p>
        </w:tc>
        <w:tc>
          <w:tcPr>
            <w:tcW w:type="dxa" w:w="20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373</w:t>
            </w:r>
          </w:p>
        </w:tc>
        <w:tc>
          <w:tcPr>
            <w:tcW w:type="dxa" w:w="4917"/>
            <w:tcBorders>
              <w:top w:color="000000" w:sz="4" w:val="single"/>
              <w:left w:color="CCCCFF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color w:val="000000"/>
                <w:sz w:val="18"/>
              </w:rPr>
              <w:t>373</w:t>
            </w:r>
          </w:p>
        </w:tc>
      </w:tr>
      <w:tr>
        <w:trPr>
          <w:trHeight w:hRule="atLeast" w:val="273"/>
        </w:trPr>
        <w:tc>
          <w:tcPr>
            <w:tcW w:type="dxa" w:w="66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3.2</w:t>
            </w:r>
          </w:p>
        </w:tc>
        <w:tc>
          <w:tcPr>
            <w:tcW w:type="dxa" w:w="5834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top"/>
          </w:tcPr>
          <w:p w14:paraId="F6000000">
            <w:pPr>
              <w:spacing w:after="0" w:line="240" w:lineRule="auto"/>
              <w:ind/>
              <w:rPr>
                <w:rFonts w:ascii="Arial" w:hAnsi="Arial"/>
                <w:b w:val="1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П</w:t>
            </w:r>
            <w:r>
              <w:rPr>
                <w:rFonts w:ascii="Arial" w:hAnsi="Arial"/>
                <w:b w:val="1"/>
                <w:sz w:val="18"/>
              </w:rPr>
              <w:t xml:space="preserve">роведено внеплановых </w:t>
            </w:r>
            <w:r>
              <w:rPr>
                <w:rFonts w:ascii="Arial" w:hAnsi="Arial"/>
                <w:b w:val="1"/>
                <w:sz w:val="18"/>
              </w:rPr>
              <w:t>проверок</w:t>
            </w:r>
            <w:r>
              <w:rPr>
                <w:rFonts w:ascii="Arial" w:hAnsi="Arial"/>
                <w:b w:val="1"/>
                <w:sz w:val="18"/>
              </w:rPr>
              <w:t xml:space="preserve"> на основании поступивших </w:t>
            </w:r>
            <w:r>
              <w:rPr>
                <w:rFonts w:ascii="Arial" w:hAnsi="Arial"/>
                <w:b w:val="1"/>
                <w:sz w:val="18"/>
              </w:rPr>
              <w:t xml:space="preserve">обращений </w:t>
            </w:r>
          </w:p>
        </w:tc>
        <w:tc>
          <w:tcPr>
            <w:tcW w:type="dxa" w:w="205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  <w:tc>
          <w:tcPr>
            <w:tcW w:type="dxa" w:w="4917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F8000000">
            <w:pPr>
              <w:spacing w:after="0" w:line="240" w:lineRule="auto"/>
              <w:ind w:firstLine="0" w:left="-709"/>
              <w:jc w:val="center"/>
              <w:rPr>
                <w:rFonts w:ascii="Arial" w:hAnsi="Arial"/>
                <w:color w:val="000000"/>
                <w:sz w:val="18"/>
              </w:rPr>
            </w:pPr>
            <w:r>
              <w:rPr>
                <w:rFonts w:ascii="Arial" w:hAnsi="Arial"/>
                <w:b w:val="1"/>
                <w:sz w:val="18"/>
              </w:rPr>
              <w:t>0</w:t>
            </w:r>
          </w:p>
        </w:tc>
      </w:tr>
    </w:tbl>
    <w:p w14:paraId="F9000000">
      <w:pPr>
        <w:rPr>
          <w:rFonts w:ascii="Arial" w:hAnsi="Arial"/>
          <w:b w:val="1"/>
          <w:color w:val="000000"/>
          <w:sz w:val="16"/>
        </w:rPr>
      </w:pPr>
    </w:p>
    <w:p w14:paraId="FA000000">
      <w:pPr>
        <w:rPr>
          <w:rFonts w:ascii="Arial" w:hAnsi="Arial"/>
          <w:b w:val="1"/>
          <w:color w:val="000000"/>
          <w:sz w:val="16"/>
        </w:rPr>
      </w:pPr>
    </w:p>
    <w:sectPr>
      <w:headerReference r:id="rId1" w:type="default"/>
      <w:pgSz w:h="16838" w:w="11906"/>
      <w:pgMar w:bottom="709" w:footer="708" w:gutter="0" w:header="708" w:left="993" w:right="707" w:top="709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center" w:y="1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fldChar w:fldCharType="end"/>
    </w:r>
  </w:p>
  <w:p w14:paraId="01000000">
    <w:pPr>
      <w:pStyle w:val="Style_1"/>
      <w:ind/>
      <w:jc w:val="center"/>
      <w:rPr>
        <w:rFonts w:ascii="Times New Roman" w:hAnsi="Times New Roman"/>
      </w:rPr>
    </w:pPr>
  </w:p>
  <w:p w14:paraId="02000000">
    <w:pPr>
      <w:pStyle w:val="Style_1"/>
      <w:rPr>
        <w:rFonts w:ascii="Times New Roman" w:hAnsi="Times New Roman"/>
      </w:rPr>
    </w:pPr>
  </w:p>
</w:hdr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ind w:firstLine="0" w:left="0" w:right="0"/>
      <w:jc w:val="left"/>
    </w:pPr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</w:pPr>
  </w:style>
  <w:style w:styleId="Style_5_ch" w:type="character">
    <w:name w:val="toc 2"/>
    <w:link w:val="Style_5"/>
  </w:style>
  <w:style w:styleId="Style_6" w:type="paragraph">
    <w:name w:val="toc 4"/>
    <w:next w:val="Style_4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toc 6"/>
    <w:next w:val="Style_4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4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next w:val="Style_4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Balloon Text"/>
    <w:basedOn w:val="Style_4"/>
    <w:link w:val="Style_10_ch"/>
    <w:pPr>
      <w:ind/>
      <w:jc w:val="left"/>
    </w:pPr>
    <w:rPr>
      <w:rFonts w:ascii="Tahoma" w:hAnsi="Tahoma"/>
      <w:sz w:val="16"/>
    </w:rPr>
  </w:style>
  <w:style w:styleId="Style_10_ch" w:type="character">
    <w:name w:val="Balloon Text"/>
    <w:basedOn w:val="Style_4_ch"/>
    <w:link w:val="Style_10"/>
    <w:rPr>
      <w:rFonts w:ascii="Tahoma" w:hAnsi="Tahoma"/>
      <w:sz w:val="16"/>
    </w:rPr>
  </w:style>
  <w:style w:styleId="Style_11" w:type="paragraph">
    <w:name w:val="toc 3"/>
    <w:next w:val="Style_4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12" w:type="paragraph">
    <w:name w:val="heading 5"/>
    <w:next w:val="Style_4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heading 1"/>
    <w:next w:val="Style_4"/>
    <w:link w:val="Style_13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footer"/>
    <w:basedOn w:val="Style_4"/>
    <w:link w:val="Style_20_ch"/>
    <w:pPr>
      <w:tabs>
        <w:tab w:leader="none" w:pos="4677" w:val="center"/>
        <w:tab w:leader="none" w:pos="9355" w:val="right"/>
      </w:tabs>
      <w:ind/>
      <w:jc w:val="left"/>
    </w:pPr>
  </w:style>
  <w:style w:styleId="Style_20_ch" w:type="character">
    <w:name w:val="footer"/>
    <w:basedOn w:val="Style_4_ch"/>
    <w:link w:val="Style_20"/>
  </w:style>
  <w:style w:styleId="Style_21" w:type="paragraph">
    <w:name w:val="toc 8"/>
    <w:next w:val="Style_4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22" w:type="paragraph">
    <w:name w:val="toc 5"/>
    <w:next w:val="Style_4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  <w:jc w:val="left"/>
    </w:pPr>
  </w:style>
  <w:style w:styleId="Style_1_ch" w:type="character">
    <w:name w:val="header"/>
    <w:basedOn w:val="Style_4_ch"/>
    <w:link w:val="Style_1"/>
  </w:style>
  <w:style w:styleId="Style_23" w:type="paragraph">
    <w:name w:val="Subtitle"/>
    <w:next w:val="Style_4"/>
    <w:link w:val="Style_23_ch"/>
    <w:uiPriority w:val="11"/>
    <w:qFormat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4" w:type="paragraph">
    <w:name w:val="toc 10"/>
    <w:next w:val="Style_4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next w:val="Style_4"/>
    <w:link w:val="Style_25_ch"/>
    <w:uiPriority w:val="10"/>
    <w:qFormat/>
    <w:rPr>
      <w:rFonts w:ascii="XO Thames" w:hAnsi="XO Thames"/>
      <w:b w:val="1"/>
      <w:sz w:val="52"/>
    </w:rPr>
  </w:style>
  <w:style w:styleId="Style_25_ch" w:type="character">
    <w:name w:val="Title"/>
    <w:link w:val="Style_25"/>
    <w:rPr>
      <w:rFonts w:ascii="XO Thames" w:hAnsi="XO Thames"/>
      <w:b w:val="1"/>
      <w:sz w:val="52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6_ch" w:type="character">
    <w:name w:val="heading 4"/>
    <w:link w:val="Style_26"/>
    <w:rPr>
      <w:rFonts w:ascii="XO Thames" w:hAnsi="XO Thames"/>
      <w:b w:val="1"/>
      <w:color w:val="595959"/>
      <w:sz w:val="26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7_ch" w:type="character">
    <w:name w:val="heading 2"/>
    <w:link w:val="Style_27"/>
    <w:rPr>
      <w:rFonts w:ascii="XO Thames" w:hAnsi="XO Thames"/>
      <w:b w:val="1"/>
      <w:color w:val="00A0FF"/>
      <w:sz w:val="26"/>
    </w:rPr>
  </w:style>
  <w:style w:styleId="Style_3" w:type="table">
    <w:name w:val="Table Grid"/>
    <w:basedOn w:val="Style_2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2020-07-20T12:36:46Z</dcterms:modified>
</cp:coreProperties>
</file>